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9" w:rsidRPr="00190989" w:rsidRDefault="00190989" w:rsidP="00190989">
      <w:pPr>
        <w:shd w:val="clear" w:color="auto" w:fill="FFFFFF"/>
        <w:spacing w:before="450" w:after="450" w:line="360" w:lineRule="atLeast"/>
        <w:jc w:val="center"/>
        <w:outlineLvl w:val="2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190989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Перечень мер поддержки МСП в связи с пандемией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29"/>
        <w:gridCol w:w="2852"/>
        <w:gridCol w:w="1335"/>
        <w:gridCol w:w="2049"/>
        <w:gridCol w:w="1640"/>
      </w:tblGrid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Меры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Комментарий и условия применения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Сроки действия 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На кого распространяется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НПА/Документы</w:t>
            </w:r>
          </w:p>
        </w:tc>
      </w:tr>
      <w:tr w:rsidR="00190989" w:rsidRPr="00190989" w:rsidTr="001909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Продление сроков уплаты налогов и страховых взносов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продление срока уплаты налога на прибыль, УСН, ЕСХН за 2019 год;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 6 месяцев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для организаций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190989" w:rsidRPr="00190989" w:rsidRDefault="00190989" w:rsidP="00190989">
            <w:pPr>
              <w:spacing w:after="270" w:line="450" w:lineRule="atLeast"/>
              <w:outlineLvl w:val="0"/>
              <w:rPr>
                <w:rFonts w:ascii="Arial" w:eastAsia="Times New Roman" w:hAnsi="Arial" w:cs="Arial"/>
                <w:color w:val="222222"/>
                <w:kern w:val="36"/>
                <w:sz w:val="49"/>
                <w:szCs w:val="49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222222"/>
                <w:kern w:val="36"/>
                <w:sz w:val="49"/>
                <w:szCs w:val="49"/>
                <w:lang w:eastAsia="ru-RU"/>
              </w:rPr>
              <w:t> </w:t>
            </w:r>
          </w:p>
        </w:tc>
      </w:tr>
      <w:tr w:rsidR="00190989" w:rsidRPr="00190989" w:rsidTr="001909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 4 месяца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36"/>
                <w:sz w:val="49"/>
                <w:szCs w:val="49"/>
                <w:lang w:eastAsia="ru-RU"/>
              </w:rPr>
            </w:pPr>
          </w:p>
        </w:tc>
      </w:tr>
      <w:tr w:rsidR="00190989" w:rsidRPr="00190989" w:rsidTr="001909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до 30 октября 2020 года;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36"/>
                <w:sz w:val="49"/>
                <w:szCs w:val="49"/>
                <w:lang w:eastAsia="ru-RU"/>
              </w:rPr>
            </w:pPr>
          </w:p>
        </w:tc>
      </w:tr>
      <w:tr w:rsidR="00190989" w:rsidRPr="00190989" w:rsidTr="001909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регионах, в которых установлены авансовые платежи) за второй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до 30 декабря 2020 года.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36"/>
                <w:sz w:val="49"/>
                <w:szCs w:val="49"/>
                <w:lang w:eastAsia="ru-RU"/>
              </w:rPr>
            </w:pPr>
          </w:p>
        </w:tc>
      </w:tr>
      <w:tr w:rsidR="00190989" w:rsidRPr="00190989" w:rsidTr="001909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 3 месяца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36"/>
                <w:sz w:val="49"/>
                <w:szCs w:val="49"/>
                <w:lang w:eastAsia="ru-RU"/>
              </w:rPr>
            </w:pPr>
          </w:p>
        </w:tc>
      </w:tr>
      <w:tr w:rsidR="00190989" w:rsidRPr="00190989" w:rsidTr="001909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продление срока уплаты страховых взносов за март-май 2020 года;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 6 месяцев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субъекты МСП, </w:t>
            </w:r>
            <w:hyperlink r:id="rId5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наиболее пострадавших отраслей российской экономики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 (ред. Постановление Правительства Российской Федерации от 24.04.2020 № 570)</w:t>
            </w:r>
          </w:p>
        </w:tc>
      </w:tr>
      <w:tr w:rsidR="00190989" w:rsidRPr="00190989" w:rsidTr="001909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 4 месяца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Реструктуризация налоговых платежей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коронавирусной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инфекции отраслей Российской экономики налоговых платежей, сформировавшихся в период предоставления им 6-месячной отсрочки, сроком на один год (с 1 октября 2020 г. по 1 октября 2021 г.) ежемесячно равными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долями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До 1 октября 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субъекты малого и среднего предпринимательства,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ведущих деятельность </w:t>
            </w:r>
            <w:hyperlink r:id="rId6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в наиболее пострадавших отраслях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Отсрочка по налогам для арендодателей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Арендодатели смогут получить отсрочку по уплате отдельных налогов и авансовых платежей по ним.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Мера поддержки доступна тем, кто предоставил пользователю помещения отсрочку по арендной плате. Кроме того, арендодатель должен быть собственником недвижимости, а его основной вид деятельности – соответствовать коду ОКВЭД 68.2 «Аренда и управление собственным или арендованным недвижимым имуществом».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Отсрочка не распространяется на НДС, НДПИ, акцизы и страховые взносы.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Новая мера поддержит участников рынка аренды, терпящих убытки из-за эпидемиологической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Правительства Российской Федерации от 3 апреля 2020 г. № 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Правительства Российской Федерации от 16 мая 2020 года № 699</w:t>
            </w:r>
          </w:p>
        </w:tc>
      </w:tr>
      <w:tr w:rsidR="00190989" w:rsidRPr="00190989" w:rsidTr="001909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Продление срока предоставления отчетности*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продление срока представления: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1) всех деклараций (расчетов по авансовым платежам), кроме НДС, бухгалтерской отчетности, срок сдачи которых приходится на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март-май 2020 года;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3) заявлений о проведении налогового мониторинга за 2021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На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Для всех организаций и ИП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Постановление Правительства Российской Федерации от 02.04.2020 № 409 «О мерах по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обеспечению устойчивого развития экономики»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190989" w:rsidRPr="00190989" w:rsidTr="001909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 20 рабочих дней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Для всех налогоплательщиков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90989" w:rsidRPr="00190989" w:rsidTr="001909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 10 рабочих дней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90989" w:rsidRPr="00190989" w:rsidTr="001909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Запрет на проверки, взыскания и санкции со стороны ФНС, и других органов КНД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Блокировка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приостановление: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2) проведения уже назначенных выездных (повторных выездных) налоговых проверок,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4) сроков: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 для представления возражений на указанные акты,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 для рассмотрения налоговым органом таких актов и возражений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до 1 июня 2020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Федеральный закон от 01.04.2020 N 98-ФЗ "О внесении изменений в отдельные законодательные акты Российской Федерации по вопросам предупреждения и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ликвидации чрезвычайных ситуаций" (Статья 6)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190989" w:rsidRPr="00190989" w:rsidTr="001909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приостановление: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 - блокировки счетов в связи с непредставлением декларации (расчетов по страховым взносам), не направлением квитанции о приеме документов,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необеспечением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приема документов по ТКС;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 - запрета </w:t>
            </w:r>
            <w:proofErr w:type="gram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на открытие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счетов в банках при наличии решения о приостановлении операций по счетам</w:t>
            </w:r>
            <w:proofErr w:type="gram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90989" w:rsidRPr="00190989" w:rsidTr="001909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Мораторий на налоговые санкции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 1 июня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Для всех налогоплательщиков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190989" w:rsidRPr="00190989" w:rsidTr="001909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Для всех налогоплательщиков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90989" w:rsidRPr="00190989" w:rsidTr="001909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период с 1 марта 2020 года по 1 июня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Для организаций и ИП, </w:t>
            </w:r>
            <w:hyperlink r:id="rId7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относящихся к пострадавшим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Мораторий на возбуждение дел о банкротстве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Введен 6-месячный запрет на подачу кредиторами заявлений о банкротстве: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- организаций и ИП из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пострадавших отраслей экономики;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системообразующих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организаций;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 стратегических предприятий и стратегических акционерных обществ;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 стратегических организаций.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Узнать, распространяется ли на организацию мораторий на банкротство, можно с помощью специальной </w:t>
            </w:r>
            <w:hyperlink r:id="rId8" w:tgtFrame="_blank" w:tooltip="Ссылка на ресурс https://service.nalog.ru/covid/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сервиса ФНС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Кроме того, ФНС,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госкорпорации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федеральные госорганы до 1 мая  </w:t>
            </w:r>
            <w:hyperlink r:id="rId9" w:anchor="dst100012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не должны подавать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заявления о признании банкротами любых должников. Аналогичная мера  </w:t>
            </w:r>
            <w:hyperlink r:id="rId10" w:anchor="dst100013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рекомендована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Центробанку и региональным властям.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Кроме того, принято решение о введении для предприятий из перечня пострадавших отраслей полугодового моратория на банкротство.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организации и ИП, </w:t>
            </w:r>
            <w:hyperlink r:id="rId11" w:tgtFrame="_blank" w:history="1">
              <w:proofErr w:type="gramStart"/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относящихся</w:t>
              </w:r>
              <w:proofErr w:type="gramEnd"/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 xml:space="preserve"> к пострадавшим отраслям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 организации, включенные в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 xml:space="preserve">перечень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системообразующих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стратегических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 xml:space="preserve">Постановление Правительства Российской Федерации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от 3 апреля 2020 г.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№ 428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Снижение тарифов по страховым взносам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плату работников, а только на ту часть, которая превышает МРОТ.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С 1 апреля и до конца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Федеральный закон от 01.04.2020 № 102-ФЗ «О внесении изменений в части первую и вторую Налогового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кодекса Российской Федерации» (Статья 6)</w:t>
            </w:r>
          </w:p>
        </w:tc>
      </w:tr>
      <w:tr w:rsidR="00190989" w:rsidRPr="00190989" w:rsidTr="001909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hyperlink r:id="rId12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Беспроцентные кредиты на выплату зарплат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Условия для получения кредита: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Гарантия по кредиту обеспечивается поручительством ВЭБ (до 75%).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Параметры кредита: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Кредит будет предоставляться на срок не более 6 месяцев.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х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МРОТ </w:t>
            </w:r>
            <w:proofErr w:type="spellStart"/>
            <w:proofErr w:type="gram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х</w:t>
            </w:r>
            <w:proofErr w:type="spellEnd"/>
            <w:proofErr w:type="gram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на 6 мес.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Ставка для заёмщика – 0%.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б</w:t>
            </w:r>
            <w:proofErr w:type="gram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ессрочно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индивидуальные предприниматели, малый бизнес и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микропредприятия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осуществляющие деятельность в одной или нескольких отраслей российской экономики, </w:t>
            </w:r>
            <w:hyperlink r:id="rId13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в наибольшей степени пострадавших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 в результате распространения новой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коронавирусной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Правительства Российской Федерации от 02.04.2020 № 422</w:t>
            </w:r>
          </w:p>
        </w:tc>
      </w:tr>
      <w:tr w:rsidR="00190989" w:rsidRPr="00190989" w:rsidTr="001909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средние и крупные предприятия, осуществляющие деятельность в одной или нескольких отраслей российской экономики, </w:t>
            </w:r>
            <w:hyperlink r:id="rId14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в наибольшей степени пострадавши</w:t>
              </w:r>
            </w:hyperlink>
            <w:proofErr w:type="gram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х</w:t>
            </w:r>
            <w:proofErr w:type="gram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</w:t>
            </w:r>
            <w:proofErr w:type="gram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результате распространения новой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коронавирусной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Правительства РФ от 24.04.2020 № 575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190989" w:rsidRPr="00190989" w:rsidTr="001909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Отсрочка по кредиту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Субъекты малого и среднего предпринимательства, осуществляющие деятельность в одной или нескольких отраслей российской экономики, </w:t>
            </w:r>
            <w:hyperlink r:id="rId15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в наибольшей степени пострадавших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 в результате распространения новой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коронавирусной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190989" w:rsidRPr="00190989" w:rsidTr="001909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коронавируса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(ниже 30%)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заявителя в банк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На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90989" w:rsidRPr="00190989" w:rsidTr="001909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Отсрочка по аренде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Отсрочка платежей за арендуемые государственные и муниципальные помещения. Дополнительное соглашение к договору аренды об отсрочке платежей должно быть заключено в течение трех рабочих дней с момента обращения заявителя.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До 1 октября 2020 года, начиная </w:t>
            </w:r>
            <w:proofErr w:type="gram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 даты введения</w:t>
            </w:r>
            <w:proofErr w:type="gram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 регионе режима повышенной готовности или ЧС.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Организации и ИП </w:t>
            </w:r>
            <w:proofErr w:type="gram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-а</w:t>
            </w:r>
            <w:proofErr w:type="gram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рендаторы государственного и муниципального имущества для отраслей, </w:t>
            </w:r>
            <w:hyperlink r:id="rId16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наиболее пострадавших из-за пандемии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коронавируса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Статья 19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Распоряжение Правительства Российской Федерации от 19 марта 2020 года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№670-р</w:t>
            </w:r>
          </w:p>
        </w:tc>
      </w:tr>
      <w:tr w:rsidR="00190989" w:rsidRPr="00190989" w:rsidTr="001909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– Также арендодателям рекомендовано снизить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 xml:space="preserve">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коронавируса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Организации и ИП - арендаторы частной недвижимости (за исключением жилых помещений) для отраслей, </w:t>
            </w:r>
            <w:hyperlink r:id="rId17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наиболее пострадавших из-за пандемии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коронавируса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 xml:space="preserve">Поддержка поставщиков по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госконтрактам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1. Если из-за распространения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коронавируса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государственный или муниципальный контракт нельзя исполнить, в течение 2020 года </w:t>
            </w:r>
            <w:hyperlink r:id="rId18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можно изменить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срок его исполнения, цену, размер аванса.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 зависимости от уровня контракта заказчик должен 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2. Поставщик, не исполнивший из-за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коронавируса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контракт, </w:t>
            </w:r>
            <w:hyperlink r:id="rId19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может рассчитывать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 на полное списание неустоек. По исполненным контрактам подлежат списанию неустойки,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размер которых не превышает 5% цены 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3. Заказчики </w:t>
            </w:r>
            <w:hyperlink r:id="rId20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получили право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не требовать от малого бизнеса обеспечение исполнения контракта и гарантийных обязательств.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4. </w:t>
            </w:r>
            <w:hyperlink r:id="rId21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Уточнены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в пользу исполнителей правила расчета пеней за нарушение отдельного этапа исполнения контракта.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5. С 30% до 50% </w:t>
            </w:r>
            <w:hyperlink r:id="rId22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увеличен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размер предоплаты, который федеральные заказчики могут предусматривать в контрактах, заключаемых в 2020 году. Кроме того, до конца года </w:t>
            </w:r>
            <w:hyperlink r:id="rId23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не действует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перечень </w:t>
            </w:r>
            <w:hyperlink r:id="rId24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товаров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которые получателям средств федерального бюджета и ФБУ нельзя покупать с предоплатой.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Если заключаемый в 2020 году субъектом РФ или муниципалитетом контракт на строительство, реконструкцию или капремонт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софинансируется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из федерального бюджета, максимальный размер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предоплаты по такому контракту также может составлять 50% (если больший размер не установлен правительством).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до 31 декабря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поставщиков по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госконтрактам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субъекты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Федеральный закон от 01.04.2020 N 98-ФЗ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Правительства РФ от 30.04.2020 N 630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Правительства РФ от 26.04.2020 N 591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Консультации по теме форс-мажора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коронавирусной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инфекции COVID-2019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 18 марта до конца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всем, кто столкнулся со срывом контрактов (как внешнеторговых, так и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внутрироссийских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Куда обращаться: на специально созданную </w:t>
            </w:r>
            <w:hyperlink r:id="rId25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горячую линию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ТПП РФ.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hyperlink r:id="rId26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Прямая безвозмездная финансовая поддержка</w:t>
              </w:r>
            </w:hyperlink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(субсидии на зарплату сотрудникам)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Выплаты предприятия смогут направить на решение текущих неотложных задач – в том числе на выплату зарплат, сохранение уровня оплаты труда своих сотрудников в апреле и мае 2020 года.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Заявки компании смогут направлять дистанционно (через сервис «Личный кабинет налогоплательщика») в течение </w:t>
            </w:r>
            <w:proofErr w:type="gram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месяца</w:t>
            </w:r>
            <w:proofErr w:type="gram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начиная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с 1 мая.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на 1 апреля.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Апрель-май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организации и ИП, </w:t>
            </w:r>
            <w:hyperlink r:id="rId27" w:tgtFrame="_blank" w:history="1">
              <w:proofErr w:type="gramStart"/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относящихся</w:t>
              </w:r>
              <w:proofErr w:type="gramEnd"/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 xml:space="preserve"> к пострадавшим отраслям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Правительства Российской Федерации от 24 апреля 2020 года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№ 576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 этот период не смогут требовать неустойку исполнители коммунальной услуги, в том числе по обращению с ТКО, а также те, кто управляет МКД.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До 1 января 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Собственники и пользователи помещений в многоквартирных домах и жилых домов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Федеральный закон от 1 апреля 2020 г. № 98-ФЗ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Постановление Правительства РФ от 2 апреля 2020 г. № 424 «Об особенностях предоставления коммунальных услуг собственникам и пользователям помещений в многоквартирных домах и жилых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домов».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Послабления в лицензировании и иных разрешительных процедурах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 1 год </w:t>
            </w:r>
            <w:hyperlink r:id="rId28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продлевается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hyperlink r:id="rId29" w:anchor="24td13041u1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Продлен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срок </w:t>
            </w:r>
            <w:hyperlink r:id="rId30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некоторых лицензий (разрешений)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 отношении целого ряда </w:t>
            </w:r>
            <w:hyperlink r:id="rId31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видов деятельности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требующих аккредитации, аттестации и иных разрешительных процедур, госорганы должны либо </w:t>
            </w:r>
            <w:hyperlink r:id="rId32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перенести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срок прохождения разрешительных процедур на 12 месяцев либо </w:t>
            </w:r>
            <w:hyperlink r:id="rId33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признать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такие процедуры пройденными, а разрешение действующим.</w:t>
            </w:r>
            <w:proofErr w:type="gramEnd"/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Не нужно переоформлять лицензию из-за изменений в адресных элементах (переименование улицы, изменение нумерации и пр.) или реорганизации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юрлица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 форме преобразования, слияния,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присоединения, а также в случае изменения наименования юридического лица.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hyperlink r:id="rId34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Переносятся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 сроки вступления в силу изменений в сфере эксплуатации транспортных средств и правил </w:t>
            </w:r>
            <w:proofErr w:type="gram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получения</w:t>
            </w:r>
            <w:proofErr w:type="gram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водительских прав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По 31 декабря 2020 г. или на год (в зависимости от лицензии)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Для организаций, осуществляющих деятельность с разрешениями и лицензиями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Правительства РФ от 03.04.2020 N 440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Правительства РФ от 28.04.2020 N 597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 xml:space="preserve">Возращение налогов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самозанятым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за 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тем, кто стал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самозанятым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 прошлом году (эксперимент был введен в Москве, Татарстане, Московской и Калужской областях), </w:t>
            </w:r>
            <w:hyperlink r:id="rId35" w:anchor="dst100091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предложено вернуть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налог на доход, уплаченный в 2019 году в полном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До конца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Самозанятые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(г. Москва, Татарстан, Московская обл., Калужская обл.)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РФ находится в разработке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Списание налогов и страховых взносов за 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hyperlink r:id="rId36" w:anchor="dst100088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предложено полностью списать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 кв.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ИП, МСП из пострадавших отраслей и СО 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РФ находится в разработке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Налоговый капитал для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самозанятых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hyperlink r:id="rId37" w:anchor="dst100092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предложено предоставить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 всем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самозанятым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До конца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Самозанятые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 23 субъектах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РФ находится в разработке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Налоговый вычет в отношении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страховых взносов для 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 xml:space="preserve">для ИП, </w:t>
            </w:r>
            <w:proofErr w:type="gram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которые</w:t>
            </w:r>
            <w:proofErr w:type="gram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заняты в наиболее пострадавших отраслях,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в этом году 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будетп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предоставлен налоговый вычет в размере одного МРОТ в отношении страховых взносов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 xml:space="preserve">До конца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 xml:space="preserve">ИП из пострадавших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отраслей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 xml:space="preserve">Постановление РФ находится в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разработке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Льготные кредиты для поддержки занятости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Президент </w:t>
            </w:r>
            <w:hyperlink r:id="rId38" w:anchor="dst100078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предложил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с 1 июня запустить специальную кредитную программу поддержки занятости.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- 2%.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возьмет на себя государство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С 1 июня 2020 г. до апреля 2021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все </w:t>
            </w:r>
            <w:hyperlink r:id="rId39" w:tgtFrame="_blank" w:history="1">
              <w:r w:rsidRPr="00190989">
                <w:rPr>
                  <w:rFonts w:ascii="Arial" w:eastAsia="Times New Roman" w:hAnsi="Arial" w:cs="Arial"/>
                  <w:color w:val="C39367"/>
                  <w:sz w:val="23"/>
                  <w:lang w:eastAsia="ru-RU"/>
                </w:rPr>
                <w:t>предприятия из пострадавших отраслей</w:t>
              </w:r>
            </w:hyperlink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а также социально ориентированные НКО.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Постановление Правительства РФ от 16 мая 2020 г. № 696</w:t>
            </w:r>
          </w:p>
        </w:tc>
      </w:tr>
    </w:tbl>
    <w:p w:rsidR="00190989" w:rsidRPr="00190989" w:rsidRDefault="00190989" w:rsidP="0019098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90989"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  <w:lastRenderedPageBreak/>
        <w:t>!Информация обновлена 20.05.2020</w:t>
      </w:r>
    </w:p>
    <w:p w:rsidR="00190989" w:rsidRPr="00190989" w:rsidRDefault="00190989" w:rsidP="001909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* Продление срока предоставления отчетности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30"/>
        <w:gridCol w:w="2081"/>
        <w:gridCol w:w="3694"/>
      </w:tblGrid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Вид отчета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Старые сроки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Новые сроки по Постановлению Правительства РФ</w:t>
            </w: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от 02 апреля 2020 г.  №409</w:t>
            </w:r>
          </w:p>
        </w:tc>
      </w:tr>
      <w:tr w:rsidR="00190989" w:rsidRPr="00190989" w:rsidTr="0019098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Годовые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Бухгалтерский 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6 мая (30 июня*)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Декларация по налогу на прибыль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 июня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Декларация по налогу на имущество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 июня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Декларация по УСН для организаций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 июня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Декларация по ЕСХН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 июня</w:t>
            </w:r>
          </w:p>
        </w:tc>
      </w:tr>
      <w:tr w:rsidR="00190989" w:rsidRPr="00190989" w:rsidTr="0019098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I квартал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Декларация по ЕНВД за 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20 июля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Декларация по НДС за 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27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15 мая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4-ФСС за 1 квартал по 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электронке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27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27 июля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Декларация по налогу на прибыль за 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28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28 июля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6-НДФЛ за 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 июля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Расчет по страховым взносам за 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15 мая</w:t>
            </w:r>
          </w:p>
        </w:tc>
      </w:tr>
      <w:tr w:rsidR="00190989" w:rsidRPr="00190989" w:rsidTr="00190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Декларация по УСН за 2019 год (ИП на «</w:t>
            </w:r>
            <w:proofErr w:type="spellStart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упрощенке</w:t>
            </w:r>
            <w:proofErr w:type="spellEnd"/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989" w:rsidRPr="00190989" w:rsidRDefault="00190989" w:rsidP="00190989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9098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 июля</w:t>
            </w:r>
          </w:p>
        </w:tc>
      </w:tr>
    </w:tbl>
    <w:p w:rsidR="00190989" w:rsidRPr="00190989" w:rsidRDefault="00190989" w:rsidP="001909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* 30 июня могут сдать только организации, годовая бухгалтерская (финансовая) отчетность которых содержит сведения, отнесенные к государственной тайне, и организации, попавшие под иностранные санкции (в случаях, установленных правительственным постановлением от 22.01.2020 № 35).</w:t>
      </w:r>
    </w:p>
    <w:p w:rsidR="00190989" w:rsidRPr="00190989" w:rsidRDefault="00190989" w:rsidP="00190989">
      <w:pPr>
        <w:shd w:val="clear" w:color="auto" w:fill="FFFFFF"/>
        <w:spacing w:before="420" w:after="450" w:line="360" w:lineRule="atLeast"/>
        <w:outlineLvl w:val="2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proofErr w:type="gramStart"/>
      <w:r w:rsidRPr="00190989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Кого</w:t>
      </w:r>
      <w:proofErr w:type="gramEnd"/>
      <w:r w:rsidRPr="00190989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затронут льготы?</w:t>
      </w:r>
    </w:p>
    <w:p w:rsidR="00190989" w:rsidRPr="00190989" w:rsidRDefault="00190989" w:rsidP="001909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1.      Критерии малого предприятия (в том числе ИП) — среднесписочная численность не более 100 человек и доход не более 800 </w:t>
      </w:r>
      <w:proofErr w:type="spellStart"/>
      <w:proofErr w:type="gramStart"/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млн</w:t>
      </w:r>
      <w:proofErr w:type="spellEnd"/>
      <w:proofErr w:type="gramEnd"/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руб. Минимум 51% уставного капитала ООО должно принадлежать </w:t>
      </w:r>
      <w:proofErr w:type="spellStart"/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физлицам</w:t>
      </w:r>
      <w:proofErr w:type="spellEnd"/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или организациям — СМП. Доля организаций, не относящихся к СМП, не должна превышать 49%, доля государства, регионов или НКО — 25%.</w:t>
      </w:r>
    </w:p>
    <w:p w:rsidR="00190989" w:rsidRPr="00190989" w:rsidRDefault="00190989" w:rsidP="001909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2.      Критерии </w:t>
      </w:r>
      <w:proofErr w:type="spellStart"/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микропредприятия</w:t>
      </w:r>
      <w:proofErr w:type="spellEnd"/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(в том числе ИП) — среднесписочная численность не более 15 человек и доход не более 120 </w:t>
      </w:r>
      <w:proofErr w:type="spellStart"/>
      <w:proofErr w:type="gramStart"/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млн</w:t>
      </w:r>
      <w:proofErr w:type="spellEnd"/>
      <w:proofErr w:type="gramEnd"/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руб. Ограничения по структуре уставного капитала — те же, что и для малых предприятий.</w:t>
      </w:r>
    </w:p>
    <w:p w:rsidR="00190989" w:rsidRPr="00190989" w:rsidRDefault="00190989" w:rsidP="001909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      Критерии среднего предприятия (в том числе ИП) — среднесписочная численность не более 250 человек и доход не более 2 </w:t>
      </w:r>
      <w:proofErr w:type="spellStart"/>
      <w:proofErr w:type="gramStart"/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млрд</w:t>
      </w:r>
      <w:proofErr w:type="spellEnd"/>
      <w:proofErr w:type="gramEnd"/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руб. Ограничения по структуре уставного капитала — те же, что и для малых предприятий.</w:t>
      </w:r>
    </w:p>
    <w:p w:rsidR="00190989" w:rsidRPr="00190989" w:rsidRDefault="00190989" w:rsidP="001909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Среднесписочную</w:t>
      </w:r>
      <w:proofErr w:type="gramEnd"/>
      <w:r w:rsidRPr="0019098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численность и доход оценивают за предыдущий год, доход считают по данным налогового учета без НДС.</w:t>
      </w:r>
    </w:p>
    <w:p w:rsidR="003B0D0E" w:rsidRDefault="003B0D0E"/>
    <w:sectPr w:rsidR="003B0D0E" w:rsidSect="003B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1E11"/>
    <w:multiLevelType w:val="multilevel"/>
    <w:tmpl w:val="5144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989"/>
    <w:rsid w:val="00190989"/>
    <w:rsid w:val="003B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0E"/>
  </w:style>
  <w:style w:type="paragraph" w:styleId="1">
    <w:name w:val="heading 1"/>
    <w:basedOn w:val="a"/>
    <w:link w:val="10"/>
    <w:uiPriority w:val="9"/>
    <w:qFormat/>
    <w:rsid w:val="00190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0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09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covid/" TargetMode="External"/><Relationship Id="rId13" Type="http://schemas.openxmlformats.org/officeDocument/2006/relationships/hyperlink" Target="https://mbnso.ru/support/antikrizis/postradavshie-otrasli/" TargetMode="External"/><Relationship Id="rId18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26" Type="http://schemas.openxmlformats.org/officeDocument/2006/relationships/hyperlink" Target="https://mbnso.ru/support/antikrizis/subsidii-na-zarabotnuyu-platu/" TargetMode="External"/><Relationship Id="rId39" Type="http://schemas.openxmlformats.org/officeDocument/2006/relationships/hyperlink" Target="https://mbnso.ru/support/antikrizis/postradavshie-otrasl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34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7" Type="http://schemas.openxmlformats.org/officeDocument/2006/relationships/hyperlink" Target="https://mbnso.ru/support/antikrizis/postradavshie-otrasli/" TargetMode="External"/><Relationship Id="rId12" Type="http://schemas.openxmlformats.org/officeDocument/2006/relationships/hyperlink" Target="https://mbnso.ru/support/antikrizis/kreditovanie-subektov-msp-s-tselyu-vypolneniya-imi-obyazatelstv-po-zarabotnoy-plate/" TargetMode="External"/><Relationship Id="rId17" Type="http://schemas.openxmlformats.org/officeDocument/2006/relationships/hyperlink" Target="https://mbnso.ru/support/antikrizis/postradavshie-otrasli/" TargetMode="External"/><Relationship Id="rId25" Type="http://schemas.openxmlformats.org/officeDocument/2006/relationships/hyperlink" Target="https://mbnso.ru/support/antikrizis/kuda-obrashchatsya/" TargetMode="External"/><Relationship Id="rId33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38" Type="http://schemas.openxmlformats.org/officeDocument/2006/relationships/hyperlink" Target="http://www.consultant.ru/document/cons_doc_LAW_35212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bnso.ru/support/antikrizis/postradavshie-otrasli/" TargetMode="External"/><Relationship Id="rId20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9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bnso.ru/support/antikrizis/postradavshie-otrasli/" TargetMode="External"/><Relationship Id="rId11" Type="http://schemas.openxmlformats.org/officeDocument/2006/relationships/hyperlink" Target="https://mbnso.ru/support/antikrizis/postradavshie-otrasli/" TargetMode="External"/><Relationship Id="rId24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32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7" Type="http://schemas.openxmlformats.org/officeDocument/2006/relationships/hyperlink" Target="http://www.consultant.ru/document/cons_doc_LAW_352129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bnso.ru/support/antikrizis/postradavshie-otrasli/" TargetMode="External"/><Relationship Id="rId15" Type="http://schemas.openxmlformats.org/officeDocument/2006/relationships/hyperlink" Target="https://mbnso.ru/support/antikrizis/postradavshie-otrasli/" TargetMode="External"/><Relationship Id="rId23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28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36" Type="http://schemas.openxmlformats.org/officeDocument/2006/relationships/hyperlink" Target="http://www.consultant.ru/document/cons_doc_LAW_352129/" TargetMode="External"/><Relationship Id="rId10" Type="http://schemas.openxmlformats.org/officeDocument/2006/relationships/hyperlink" Target="http://www.consultant.ru/document/cons_doc_LAW_347944/" TargetMode="External"/><Relationship Id="rId19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31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7944/" TargetMode="External"/><Relationship Id="rId14" Type="http://schemas.openxmlformats.org/officeDocument/2006/relationships/hyperlink" Target="https://mbnso.ru/support/antikrizis/postradavshie-otrasli/" TargetMode="External"/><Relationship Id="rId22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27" Type="http://schemas.openxmlformats.org/officeDocument/2006/relationships/hyperlink" Target="https://mbnso.ru/support/antikrizis/postradavshie-otrasli/" TargetMode="External"/><Relationship Id="rId30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35" Type="http://schemas.openxmlformats.org/officeDocument/2006/relationships/hyperlink" Target="http://www.consultant.ru/document/cons_doc_LAW_352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4332</Words>
  <Characters>24699</Characters>
  <Application>Microsoft Office Word</Application>
  <DocSecurity>0</DocSecurity>
  <Lines>205</Lines>
  <Paragraphs>57</Paragraphs>
  <ScaleCrop>false</ScaleCrop>
  <Company/>
  <LinksUpToDate>false</LinksUpToDate>
  <CharactersWithSpaces>28974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WIR</cp:lastModifiedBy>
  <cp:revision>2</cp:revision>
  <dcterms:created xsi:type="dcterms:W3CDTF">2020-08-24T06:11:00Z</dcterms:created>
  <dcterms:modified xsi:type="dcterms:W3CDTF">2020-08-24T06:11:00Z</dcterms:modified>
</cp:coreProperties>
</file>